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C:\Documents and Settings\haustova ja\Рабочий стол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haustova ja\Рабочий стол\лог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Segoe UI" w:hAnsi="Segoe UI" w:cs="Segoe UI"/>
          <w:sz w:val="24"/>
          <w:szCs w:val="24"/>
        </w:rPr>
      </w:pPr>
    </w:p>
    <w:p>
      <w:pPr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jc w:val="right"/>
        <w:rPr>
          <w:b/>
          <w:sz w:val="28"/>
          <w:szCs w:val="28"/>
        </w:rPr>
      </w:pPr>
      <w:r>
        <w:rPr>
          <w:rFonts w:ascii="Segoe UI" w:hAnsi="Segoe UI" w:cs="Segoe UI"/>
          <w:b/>
        </w:rPr>
        <w:t>29 января 2020</w:t>
      </w:r>
    </w:p>
    <w:p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В 2020 году усилят контроль за банкротством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последние два года почти в два раза увеличилось количество жалоб на действия арбитражных управляющих по сравнению с 2017 и 2016 годами. А по сравнению с 2018 годом в прошлом году выросло число жалоб, признанных обоснованными: в 75% случаев в отношении арбитражных управляющих были возбуждены дела об административных правонарушениях. 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Рост обращений связан с </w:t>
      </w:r>
      <w:r>
        <w:rPr>
          <w:rFonts w:ascii="Segoe UI" w:hAnsi="Segoe UI" w:cs="Segoe UI"/>
          <w:color w:val="000000" w:themeColor="text1"/>
          <w:sz w:val="24"/>
          <w:szCs w:val="24"/>
        </w:rPr>
        <w:t>ужесточением законодательных требований к арбитражным управляющим, а также с повышением юридической грамотности лиц, вовлеченных в правоотношения в сфере банкротства.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ведомстве подчеркивают, что для восстановления нарушенных прав обратиться только в Управление Росреестра недостаточно.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Жалоба на арбитражного управляющего может быть подана как в Управление Росреестра, так и в саморегулируемую организацию (СРО) арбитражных управляющих. Если арбитражный управляющий нарушил требования законодательства о банкротстве, Росреестр привлечет его к административной ответственности, а СРО вынесет замечание или исключит арбитражного управляющего из состава членов организации. При этом в полномочия Росреестра и СРО арбитражных управляющих не входит восстановление нарушенных прав. Поэтому за защитой своих прав надо обязательно обратиться в суд. Например, в рамках имеющегося дела о банкротстве</w:t>
      </w:r>
      <w:r>
        <w:rPr>
          <w:rFonts w:ascii="Segoe UI" w:hAnsi="Segoe UI" w:cs="Segoe UI"/>
          <w:sz w:val="24"/>
          <w:szCs w:val="24"/>
        </w:rPr>
        <w:t xml:space="preserve">, - поясняет начальник отдела по контролю (надзору) в сфере саморегулируемых организаций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Екатерина Соловьева</w:t>
      </w:r>
      <w:r>
        <w:rPr>
          <w:rFonts w:ascii="Segoe UI" w:hAnsi="Segoe UI" w:cs="Segoe UI"/>
          <w:sz w:val="24"/>
          <w:szCs w:val="24"/>
        </w:rPr>
        <w:t xml:space="preserve">.  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в 2019 году в рамках контроля за процедурами банкротства организаций-застройщиков и организаций, имеющих задолженность по заработной плате</w:t>
      </w:r>
      <w:r>
        <w:rPr>
          <w:rFonts w:ascii="Segoe UI" w:hAnsi="Segoe UI" w:cs="Segoe UI"/>
          <w:color w:val="000000" w:themeColor="text1"/>
          <w:sz w:val="24"/>
          <w:szCs w:val="24"/>
        </w:rPr>
        <w:t>,</w:t>
      </w:r>
      <w:r>
        <w:rPr>
          <w:rFonts w:ascii="Segoe UI" w:hAnsi="Segoe UI" w:cs="Segoe UI"/>
          <w:sz w:val="24"/>
          <w:szCs w:val="24"/>
        </w:rPr>
        <w:t xml:space="preserve"> Управление Росреестра взаимодействовало с органами прокуратуры Самарской области. По итогам рассмотрения материалов прокуратуры было составлено пять протоколов об административных правонарушениях. В 2020 году ожидается еще более пристальное внимание надзорного органа за арбитражными управляющими. Это связано с поручением </w:t>
      </w:r>
      <w:r>
        <w:rPr>
          <w:rFonts w:ascii="Segoe UI" w:hAnsi="Segoe UI" w:cs="Segoe UI"/>
          <w:sz w:val="24"/>
          <w:szCs w:val="24"/>
        </w:rPr>
        <w:lastRenderedPageBreak/>
        <w:t xml:space="preserve">администрации президента России (которые были даны 20 января) усилить надзор, чтобы минимизировать незаконные финансовые операции с использованием института банкротства.  </w:t>
      </w:r>
    </w:p>
    <w:p>
      <w:pPr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______________________________________________________________________________________________________</w:t>
      </w:r>
    </w:p>
    <w:p>
      <w:pPr>
        <w:rPr>
          <w:rFonts w:ascii="Segoe UI" w:hAnsi="Segoe UI" w:cs="Segoe UI"/>
        </w:rPr>
      </w:pPr>
      <w:r>
        <w:rPr>
          <w:rFonts w:ascii="Segoe UI" w:hAnsi="Segoe UI" w:cs="Segoe UI"/>
          <w:b/>
          <w:noProof/>
          <w:lang w:eastAsia="sk-SK"/>
        </w:rPr>
        <w:t xml:space="preserve">Контакты для СМИ: </w:t>
      </w: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8" distB="4294967288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3840480" cy="0"/>
                <wp:effectExtent l="0" t="0" r="2667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302.4pt;height:0;z-index:251659264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" strokecolor="#0070c0" strokeweight="1.25pt"/>
            </w:pict>
          </mc:Fallback>
        </mc:AlternateContent>
      </w:r>
    </w:p>
    <w:p>
      <w:pPr>
        <w:jc w:val="both"/>
        <w:rPr>
          <w:rFonts w:ascii="Segoe UI" w:hAnsi="Segoe UI" w:cs="Segoe UI"/>
          <w:sz w:val="24"/>
          <w:szCs w:val="24"/>
        </w:rPr>
      </w:pPr>
    </w:p>
    <w:p>
      <w:pPr>
        <w:jc w:val="both"/>
        <w:rPr>
          <w:rFonts w:ascii="Segoe UI" w:hAnsi="Segoe UI" w:cs="Segoe UI"/>
          <w:sz w:val="24"/>
          <w:szCs w:val="24"/>
        </w:rPr>
      </w:pPr>
    </w:p>
    <w:p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46CE7-36C5-44DD-AD66-66CA5CB4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22</cp:revision>
  <cp:lastPrinted>2020-01-29T07:04:00Z</cp:lastPrinted>
  <dcterms:created xsi:type="dcterms:W3CDTF">2020-01-29T06:50:00Z</dcterms:created>
  <dcterms:modified xsi:type="dcterms:W3CDTF">2020-01-29T07:41:00Z</dcterms:modified>
</cp:coreProperties>
</file>